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E4" w:rsidRPr="006352E4" w:rsidRDefault="006352E4" w:rsidP="006352E4">
      <w:pPr>
        <w:shd w:val="clear" w:color="auto" w:fill="FFFFFF"/>
        <w:spacing w:after="0" w:line="240" w:lineRule="auto"/>
        <w:outlineLvl w:val="2"/>
        <w:rPr>
          <w:rFonts w:ascii="Arial" w:eastAsia="Times New Roman" w:hAnsi="Arial" w:cs="Arial"/>
          <w:color w:val="ED1C24"/>
          <w:sz w:val="27"/>
          <w:szCs w:val="27"/>
        </w:rPr>
      </w:pPr>
      <w:r w:rsidRPr="006352E4">
        <w:rPr>
          <w:rFonts w:ascii="Arial" w:eastAsia="Times New Roman" w:hAnsi="Arial" w:cs="Arial"/>
          <w:color w:val="ED1C24"/>
          <w:sz w:val="27"/>
          <w:szCs w:val="27"/>
        </w:rPr>
        <w:t>Course Overview:</w:t>
      </w:r>
    </w:p>
    <w:p w:rsidR="006352E4" w:rsidRPr="006352E4" w:rsidRDefault="006352E4" w:rsidP="006352E4">
      <w:pPr>
        <w:spacing w:after="0" w:line="240" w:lineRule="auto"/>
        <w:rPr>
          <w:rFonts w:ascii="Times New Roman" w:eastAsia="Times New Roman" w:hAnsi="Times New Roman" w:cs="Times New Roman"/>
          <w:sz w:val="24"/>
          <w:szCs w:val="24"/>
        </w:rPr>
      </w:pPr>
      <w:r w:rsidRPr="006352E4">
        <w:rPr>
          <w:rFonts w:ascii="Arial" w:eastAsia="Times New Roman" w:hAnsi="Arial" w:cs="Arial"/>
          <w:color w:val="585555"/>
          <w:sz w:val="18"/>
          <w:szCs w:val="18"/>
          <w:shd w:val="clear" w:color="auto" w:fill="FFFFFF"/>
        </w:rPr>
        <w:t>Transportation of Dangerous Goods (TDG) - Energy Services introduces participants to the TDG Act and regulations and explains the requirements for receiving, handling, transporting and shipping dangerous goods, as well as the appropriate response in emergency situations such as spills or accidents. </w:t>
      </w:r>
      <w:r w:rsidRPr="006352E4">
        <w:rPr>
          <w:rFonts w:ascii="Arial" w:eastAsia="Times New Roman" w:hAnsi="Arial" w:cs="Arial"/>
          <w:color w:val="585555"/>
          <w:sz w:val="18"/>
          <w:szCs w:val="18"/>
        </w:rPr>
        <w:br/>
      </w:r>
      <w:r w:rsidRPr="006352E4">
        <w:rPr>
          <w:rFonts w:ascii="Arial" w:eastAsia="Times New Roman" w:hAnsi="Arial" w:cs="Arial"/>
          <w:color w:val="585555"/>
          <w:sz w:val="18"/>
          <w:szCs w:val="18"/>
        </w:rPr>
        <w:br/>
      </w:r>
    </w:p>
    <w:p w:rsidR="006352E4" w:rsidRPr="006352E4" w:rsidRDefault="006352E4" w:rsidP="006352E4">
      <w:pPr>
        <w:shd w:val="clear" w:color="auto" w:fill="FFFFFF"/>
        <w:spacing w:after="0" w:line="240" w:lineRule="auto"/>
        <w:outlineLvl w:val="2"/>
        <w:rPr>
          <w:rFonts w:ascii="Arial" w:eastAsia="Times New Roman" w:hAnsi="Arial" w:cs="Arial"/>
          <w:color w:val="ED1C24"/>
          <w:sz w:val="27"/>
          <w:szCs w:val="27"/>
        </w:rPr>
      </w:pPr>
      <w:r w:rsidRPr="006352E4">
        <w:rPr>
          <w:rFonts w:ascii="Arial" w:eastAsia="Times New Roman" w:hAnsi="Arial" w:cs="Arial"/>
          <w:color w:val="ED1C24"/>
          <w:sz w:val="27"/>
          <w:szCs w:val="27"/>
        </w:rPr>
        <w:t>Who Should Take the Course?</w:t>
      </w:r>
    </w:p>
    <w:p w:rsidR="006352E4" w:rsidRPr="006352E4" w:rsidRDefault="006352E4" w:rsidP="006352E4">
      <w:pPr>
        <w:spacing w:after="0" w:line="240" w:lineRule="auto"/>
        <w:rPr>
          <w:rFonts w:ascii="Times New Roman" w:eastAsia="Times New Roman" w:hAnsi="Times New Roman" w:cs="Times New Roman"/>
          <w:sz w:val="24"/>
          <w:szCs w:val="24"/>
        </w:rPr>
      </w:pPr>
      <w:r w:rsidRPr="006352E4">
        <w:rPr>
          <w:rFonts w:ascii="Arial" w:eastAsia="Times New Roman" w:hAnsi="Arial" w:cs="Arial"/>
          <w:color w:val="585555"/>
          <w:sz w:val="18"/>
          <w:szCs w:val="18"/>
          <w:shd w:val="clear" w:color="auto" w:fill="FFFFFF"/>
        </w:rPr>
        <w:t>TDG regulations require that, with few exceptions, all persons engaged in the handling, offering for transport or transporting of dangerous goods be trained in the aspects of handling such goods. </w:t>
      </w:r>
      <w:r w:rsidRPr="006352E4">
        <w:rPr>
          <w:rFonts w:ascii="Arial" w:eastAsia="Times New Roman" w:hAnsi="Arial" w:cs="Arial"/>
          <w:color w:val="585555"/>
          <w:sz w:val="18"/>
          <w:szCs w:val="18"/>
        </w:rPr>
        <w:br/>
      </w:r>
      <w:r w:rsidRPr="006352E4">
        <w:rPr>
          <w:rFonts w:ascii="Arial" w:eastAsia="Times New Roman" w:hAnsi="Arial" w:cs="Arial"/>
          <w:color w:val="585555"/>
          <w:sz w:val="18"/>
          <w:szCs w:val="18"/>
        </w:rPr>
        <w:br/>
      </w:r>
    </w:p>
    <w:p w:rsidR="006352E4" w:rsidRPr="006352E4" w:rsidRDefault="006352E4" w:rsidP="006352E4">
      <w:pPr>
        <w:shd w:val="clear" w:color="auto" w:fill="FFFFFF"/>
        <w:spacing w:after="0" w:line="240" w:lineRule="auto"/>
        <w:outlineLvl w:val="2"/>
        <w:rPr>
          <w:rFonts w:ascii="Arial" w:eastAsia="Times New Roman" w:hAnsi="Arial" w:cs="Arial"/>
          <w:color w:val="ED1C24"/>
          <w:sz w:val="27"/>
          <w:szCs w:val="27"/>
        </w:rPr>
      </w:pPr>
      <w:r w:rsidRPr="006352E4">
        <w:rPr>
          <w:rFonts w:ascii="Arial" w:eastAsia="Times New Roman" w:hAnsi="Arial" w:cs="Arial"/>
          <w:color w:val="ED1C24"/>
          <w:sz w:val="27"/>
          <w:szCs w:val="27"/>
        </w:rPr>
        <w:t>Course Objectives:</w:t>
      </w:r>
    </w:p>
    <w:p w:rsidR="006352E4" w:rsidRPr="006352E4" w:rsidRDefault="006352E4" w:rsidP="006352E4">
      <w:pPr>
        <w:spacing w:after="0" w:line="240" w:lineRule="auto"/>
        <w:rPr>
          <w:rFonts w:ascii="Times New Roman" w:eastAsia="Times New Roman" w:hAnsi="Times New Roman" w:cs="Times New Roman"/>
          <w:sz w:val="24"/>
          <w:szCs w:val="24"/>
        </w:rPr>
      </w:pPr>
      <w:r w:rsidRPr="006352E4">
        <w:rPr>
          <w:rFonts w:ascii="Arial" w:eastAsia="Times New Roman" w:hAnsi="Arial" w:cs="Arial"/>
          <w:color w:val="585555"/>
          <w:sz w:val="18"/>
          <w:szCs w:val="18"/>
          <w:shd w:val="clear" w:color="auto" w:fill="FFFFFF"/>
        </w:rPr>
        <w:t>Ultimately, the goal of this course is to provide participants with the information they need to comply with the TDG Act and regulations. By completing this course, they should know how dangerous goods are classified; understand the regulations pertaining to proper documentation, safety marks, means of containment, forbidden goods, exemptions and special provisions; and know the immediate reporting and procedures to follow in the event of an emergency involving dangerous goods. </w:t>
      </w:r>
      <w:r w:rsidRPr="006352E4">
        <w:rPr>
          <w:rFonts w:ascii="Arial" w:eastAsia="Times New Roman" w:hAnsi="Arial" w:cs="Arial"/>
          <w:color w:val="585555"/>
          <w:sz w:val="18"/>
          <w:szCs w:val="18"/>
        </w:rPr>
        <w:br/>
      </w:r>
      <w:r w:rsidRPr="006352E4">
        <w:rPr>
          <w:rFonts w:ascii="Arial" w:eastAsia="Times New Roman" w:hAnsi="Arial" w:cs="Arial"/>
          <w:color w:val="585555"/>
          <w:sz w:val="18"/>
          <w:szCs w:val="18"/>
        </w:rPr>
        <w:br/>
      </w:r>
      <w:r w:rsidRPr="006352E4">
        <w:rPr>
          <w:rFonts w:ascii="Arial" w:eastAsia="Times New Roman" w:hAnsi="Arial" w:cs="Arial"/>
          <w:color w:val="585555"/>
          <w:sz w:val="18"/>
          <w:szCs w:val="18"/>
          <w:shd w:val="clear" w:color="auto" w:fill="FFFFFF"/>
        </w:rPr>
        <w:t>This course is presented in 9 modules:</w:t>
      </w:r>
    </w:p>
    <w:tbl>
      <w:tblPr>
        <w:tblW w:w="45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4321"/>
        <w:gridCol w:w="4103"/>
      </w:tblGrid>
      <w:tr w:rsidR="006352E4" w:rsidRPr="006352E4" w:rsidTr="006352E4">
        <w:trPr>
          <w:jc w:val="center"/>
        </w:trPr>
        <w:tc>
          <w:tcPr>
            <w:tcW w:w="0" w:type="auto"/>
            <w:tcBorders>
              <w:top w:val="nil"/>
              <w:left w:val="nil"/>
              <w:bottom w:val="nil"/>
              <w:right w:val="nil"/>
            </w:tcBorders>
            <w:shd w:val="clear" w:color="auto" w:fill="FFFFFF"/>
            <w:hideMark/>
          </w:tcPr>
          <w:p w:rsidR="006352E4" w:rsidRPr="006352E4" w:rsidRDefault="006352E4" w:rsidP="006352E4">
            <w:pPr>
              <w:spacing w:after="0" w:line="240" w:lineRule="auto"/>
              <w:rPr>
                <w:rFonts w:ascii="Arial" w:eastAsia="Times New Roman" w:hAnsi="Arial" w:cs="Arial"/>
                <w:color w:val="585555"/>
                <w:sz w:val="18"/>
                <w:szCs w:val="18"/>
              </w:rPr>
            </w:pPr>
            <w:r w:rsidRPr="006352E4">
              <w:rPr>
                <w:rFonts w:ascii="Arial" w:eastAsia="Times New Roman" w:hAnsi="Arial" w:cs="Arial"/>
                <w:color w:val="585555"/>
                <w:sz w:val="18"/>
                <w:szCs w:val="18"/>
              </w:rPr>
              <w:t>1. Introduction to TDG </w:t>
            </w:r>
            <w:r w:rsidRPr="006352E4">
              <w:rPr>
                <w:rFonts w:ascii="Arial" w:eastAsia="Times New Roman" w:hAnsi="Arial" w:cs="Arial"/>
                <w:color w:val="585555"/>
                <w:sz w:val="18"/>
                <w:szCs w:val="18"/>
              </w:rPr>
              <w:br/>
              <w:t>2. Regulations and Training </w:t>
            </w:r>
            <w:r w:rsidRPr="006352E4">
              <w:rPr>
                <w:rFonts w:ascii="Arial" w:eastAsia="Times New Roman" w:hAnsi="Arial" w:cs="Arial"/>
                <w:color w:val="585555"/>
                <w:sz w:val="18"/>
                <w:szCs w:val="18"/>
              </w:rPr>
              <w:br/>
              <w:t>3. Classification of Dangerous Goods </w:t>
            </w:r>
            <w:r w:rsidRPr="006352E4">
              <w:rPr>
                <w:rFonts w:ascii="Arial" w:eastAsia="Times New Roman" w:hAnsi="Arial" w:cs="Arial"/>
                <w:color w:val="585555"/>
                <w:sz w:val="18"/>
                <w:szCs w:val="18"/>
              </w:rPr>
              <w:br/>
              <w:t>4. Safety Marks Used in Conjunction with Dangerous Goods </w:t>
            </w:r>
            <w:r w:rsidRPr="006352E4">
              <w:rPr>
                <w:rFonts w:ascii="Arial" w:eastAsia="Times New Roman" w:hAnsi="Arial" w:cs="Arial"/>
                <w:color w:val="585555"/>
                <w:sz w:val="18"/>
                <w:szCs w:val="18"/>
              </w:rPr>
              <w:br/>
              <w:t>5. Means of Containment</w:t>
            </w:r>
          </w:p>
        </w:tc>
        <w:tc>
          <w:tcPr>
            <w:tcW w:w="0" w:type="auto"/>
            <w:tcBorders>
              <w:top w:val="nil"/>
              <w:left w:val="nil"/>
              <w:bottom w:val="nil"/>
              <w:right w:val="nil"/>
            </w:tcBorders>
            <w:shd w:val="clear" w:color="auto" w:fill="FFFFFF"/>
            <w:hideMark/>
          </w:tcPr>
          <w:p w:rsidR="006352E4" w:rsidRPr="006352E4" w:rsidRDefault="006352E4" w:rsidP="006352E4">
            <w:pPr>
              <w:spacing w:after="0" w:line="240" w:lineRule="auto"/>
              <w:rPr>
                <w:rFonts w:ascii="Arial" w:eastAsia="Times New Roman" w:hAnsi="Arial" w:cs="Arial"/>
                <w:color w:val="585555"/>
                <w:sz w:val="18"/>
                <w:szCs w:val="18"/>
              </w:rPr>
            </w:pPr>
            <w:r w:rsidRPr="006352E4">
              <w:rPr>
                <w:rFonts w:ascii="Arial" w:eastAsia="Times New Roman" w:hAnsi="Arial" w:cs="Arial"/>
                <w:color w:val="585555"/>
                <w:sz w:val="18"/>
                <w:szCs w:val="18"/>
              </w:rPr>
              <w:t>6. Documentation </w:t>
            </w:r>
            <w:r w:rsidRPr="006352E4">
              <w:rPr>
                <w:rFonts w:ascii="Arial" w:eastAsia="Times New Roman" w:hAnsi="Arial" w:cs="Arial"/>
                <w:color w:val="585555"/>
                <w:sz w:val="18"/>
                <w:szCs w:val="18"/>
              </w:rPr>
              <w:br/>
              <w:t>7. Forbidden Goods, Exemptions and Special Provisions </w:t>
            </w:r>
            <w:r w:rsidRPr="006352E4">
              <w:rPr>
                <w:rFonts w:ascii="Arial" w:eastAsia="Times New Roman" w:hAnsi="Arial" w:cs="Arial"/>
                <w:color w:val="585555"/>
                <w:sz w:val="18"/>
                <w:szCs w:val="18"/>
              </w:rPr>
              <w:br/>
              <w:t>8. Exemptions </w:t>
            </w:r>
            <w:r w:rsidRPr="006352E4">
              <w:rPr>
                <w:rFonts w:ascii="Arial" w:eastAsia="Times New Roman" w:hAnsi="Arial" w:cs="Arial"/>
                <w:color w:val="585555"/>
                <w:sz w:val="18"/>
                <w:szCs w:val="18"/>
              </w:rPr>
              <w:br/>
              <w:t>9. Immediate Reporting and ERAPs</w:t>
            </w:r>
          </w:p>
        </w:tc>
      </w:tr>
    </w:tbl>
    <w:p w:rsidR="006352E4" w:rsidRPr="006352E4" w:rsidRDefault="006352E4" w:rsidP="006352E4">
      <w:pPr>
        <w:spacing w:after="0" w:line="240" w:lineRule="auto"/>
        <w:rPr>
          <w:rFonts w:ascii="Times New Roman" w:eastAsia="Times New Roman" w:hAnsi="Times New Roman" w:cs="Times New Roman"/>
          <w:sz w:val="24"/>
          <w:szCs w:val="24"/>
        </w:rPr>
      </w:pPr>
      <w:r w:rsidRPr="006352E4">
        <w:rPr>
          <w:rFonts w:ascii="Arial" w:eastAsia="Times New Roman" w:hAnsi="Arial" w:cs="Arial"/>
          <w:color w:val="585555"/>
          <w:sz w:val="18"/>
          <w:szCs w:val="18"/>
        </w:rPr>
        <w:br/>
      </w:r>
      <w:r w:rsidRPr="006352E4">
        <w:rPr>
          <w:rFonts w:ascii="Arial" w:eastAsia="Times New Roman" w:hAnsi="Arial" w:cs="Arial"/>
          <w:color w:val="585555"/>
          <w:sz w:val="18"/>
          <w:szCs w:val="18"/>
        </w:rPr>
        <w:br/>
      </w:r>
    </w:p>
    <w:p w:rsidR="006352E4" w:rsidRPr="006352E4" w:rsidRDefault="006352E4" w:rsidP="006352E4">
      <w:pPr>
        <w:shd w:val="clear" w:color="auto" w:fill="FFFFFF"/>
        <w:spacing w:after="0" w:line="240" w:lineRule="auto"/>
        <w:outlineLvl w:val="2"/>
        <w:rPr>
          <w:rFonts w:ascii="Arial" w:eastAsia="Times New Roman" w:hAnsi="Arial" w:cs="Arial"/>
          <w:color w:val="ED1C24"/>
          <w:sz w:val="27"/>
          <w:szCs w:val="27"/>
        </w:rPr>
      </w:pPr>
      <w:r w:rsidRPr="006352E4">
        <w:rPr>
          <w:rFonts w:ascii="Arial" w:eastAsia="Times New Roman" w:hAnsi="Arial" w:cs="Arial"/>
          <w:color w:val="ED1C24"/>
          <w:sz w:val="27"/>
          <w:szCs w:val="27"/>
        </w:rPr>
        <w:t>Evaluation Process:</w:t>
      </w:r>
    </w:p>
    <w:p w:rsidR="006352E4" w:rsidRPr="006352E4" w:rsidRDefault="006352E4" w:rsidP="006352E4">
      <w:pPr>
        <w:spacing w:after="0" w:line="240" w:lineRule="auto"/>
        <w:rPr>
          <w:rFonts w:ascii="Times New Roman" w:eastAsia="Times New Roman" w:hAnsi="Times New Roman" w:cs="Times New Roman"/>
          <w:sz w:val="24"/>
          <w:szCs w:val="24"/>
        </w:rPr>
      </w:pPr>
      <w:r w:rsidRPr="006352E4">
        <w:rPr>
          <w:rFonts w:ascii="Arial" w:eastAsia="Times New Roman" w:hAnsi="Arial" w:cs="Arial"/>
          <w:color w:val="585555"/>
          <w:sz w:val="18"/>
          <w:szCs w:val="18"/>
          <w:shd w:val="clear" w:color="auto" w:fill="FFFFFF"/>
        </w:rPr>
        <w:t>At the end of each module, there is a test. Participants that do not achieve 100% can review the module content and try as many times as necessary to complete the course. Test questions are randomly selected from a test bank, making each test unique. </w:t>
      </w:r>
      <w:r w:rsidRPr="006352E4">
        <w:rPr>
          <w:rFonts w:ascii="Arial" w:eastAsia="Times New Roman" w:hAnsi="Arial" w:cs="Arial"/>
          <w:color w:val="585555"/>
          <w:sz w:val="18"/>
          <w:szCs w:val="18"/>
        </w:rPr>
        <w:br/>
      </w:r>
      <w:r w:rsidRPr="006352E4">
        <w:rPr>
          <w:rFonts w:ascii="Arial" w:eastAsia="Times New Roman" w:hAnsi="Arial" w:cs="Arial"/>
          <w:color w:val="585555"/>
          <w:sz w:val="18"/>
          <w:szCs w:val="18"/>
        </w:rPr>
        <w:br/>
      </w:r>
      <w:r w:rsidRPr="006352E4">
        <w:rPr>
          <w:rFonts w:ascii="Arial" w:eastAsia="Times New Roman" w:hAnsi="Arial" w:cs="Arial"/>
          <w:i/>
          <w:iCs/>
          <w:color w:val="585555"/>
          <w:sz w:val="18"/>
          <w:szCs w:val="18"/>
          <w:shd w:val="clear" w:color="auto" w:fill="FFFFFF"/>
        </w:rPr>
        <w:t>Upon successfully completing all modules, there is a printable certificate for your records. This Certificate must be signed by your employer/designated manager to be considered valid. Self-employed persons may sign their own certificate. </w:t>
      </w:r>
      <w:r w:rsidRPr="006352E4">
        <w:rPr>
          <w:rFonts w:ascii="Arial" w:eastAsia="Times New Roman" w:hAnsi="Arial" w:cs="Arial"/>
          <w:color w:val="585555"/>
          <w:sz w:val="18"/>
          <w:szCs w:val="18"/>
        </w:rPr>
        <w:br/>
      </w:r>
      <w:r w:rsidRPr="006352E4">
        <w:rPr>
          <w:rFonts w:ascii="Arial" w:eastAsia="Times New Roman" w:hAnsi="Arial" w:cs="Arial"/>
          <w:color w:val="585555"/>
          <w:sz w:val="18"/>
          <w:szCs w:val="18"/>
        </w:rPr>
        <w:br/>
      </w:r>
    </w:p>
    <w:p w:rsidR="006352E4" w:rsidRPr="006352E4" w:rsidRDefault="006352E4" w:rsidP="006352E4">
      <w:pPr>
        <w:shd w:val="clear" w:color="auto" w:fill="FFFFFF"/>
        <w:spacing w:after="0" w:line="240" w:lineRule="auto"/>
        <w:outlineLvl w:val="2"/>
        <w:rPr>
          <w:rFonts w:ascii="Arial" w:eastAsia="Times New Roman" w:hAnsi="Arial" w:cs="Arial"/>
          <w:color w:val="ED1C24"/>
          <w:sz w:val="27"/>
          <w:szCs w:val="27"/>
        </w:rPr>
      </w:pPr>
      <w:r w:rsidRPr="006352E4">
        <w:rPr>
          <w:rFonts w:ascii="Arial" w:eastAsia="Times New Roman" w:hAnsi="Arial" w:cs="Arial"/>
          <w:color w:val="ED1C24"/>
          <w:sz w:val="27"/>
          <w:szCs w:val="27"/>
        </w:rPr>
        <w:t>Course Duration:</w:t>
      </w:r>
    </w:p>
    <w:p w:rsidR="009D28A0" w:rsidRDefault="006352E4" w:rsidP="006352E4">
      <w:r w:rsidRPr="006352E4">
        <w:rPr>
          <w:rFonts w:ascii="Arial" w:eastAsia="Times New Roman" w:hAnsi="Arial" w:cs="Arial"/>
          <w:color w:val="585555"/>
          <w:sz w:val="18"/>
          <w:szCs w:val="18"/>
          <w:shd w:val="clear" w:color="auto" w:fill="FFFFFF"/>
        </w:rPr>
        <w:t xml:space="preserve">This online course is self-paced. Participants may leave the course at </w:t>
      </w:r>
      <w:proofErr w:type="spellStart"/>
      <w:r w:rsidRPr="006352E4">
        <w:rPr>
          <w:rFonts w:ascii="Arial" w:eastAsia="Times New Roman" w:hAnsi="Arial" w:cs="Arial"/>
          <w:color w:val="585555"/>
          <w:sz w:val="18"/>
          <w:szCs w:val="18"/>
          <w:shd w:val="clear" w:color="auto" w:fill="FFFFFF"/>
        </w:rPr>
        <w:t>anytime</w:t>
      </w:r>
      <w:proofErr w:type="spellEnd"/>
      <w:r w:rsidRPr="006352E4">
        <w:rPr>
          <w:rFonts w:ascii="Arial" w:eastAsia="Times New Roman" w:hAnsi="Arial" w:cs="Arial"/>
          <w:color w:val="585555"/>
          <w:sz w:val="18"/>
          <w:szCs w:val="18"/>
          <w:shd w:val="clear" w:color="auto" w:fill="FFFFFF"/>
        </w:rPr>
        <w:t xml:space="preserve"> and can resume where they left off. The duration will depend on the individual participant and their prior knowledge of the subject matter. On average, the course will take between 5 - 9 hours to complete. </w:t>
      </w:r>
      <w:r w:rsidRPr="006352E4">
        <w:rPr>
          <w:rFonts w:ascii="Arial" w:eastAsia="Times New Roman" w:hAnsi="Arial" w:cs="Arial"/>
          <w:color w:val="585555"/>
          <w:sz w:val="18"/>
          <w:szCs w:val="18"/>
        </w:rPr>
        <w:br/>
      </w:r>
      <w:r w:rsidRPr="006352E4">
        <w:rPr>
          <w:rFonts w:ascii="Arial" w:eastAsia="Times New Roman" w:hAnsi="Arial" w:cs="Arial"/>
          <w:color w:val="585555"/>
          <w:sz w:val="18"/>
          <w:szCs w:val="18"/>
        </w:rPr>
        <w:br/>
      </w:r>
      <w:r w:rsidRPr="006352E4">
        <w:rPr>
          <w:rFonts w:ascii="Arial" w:eastAsia="Times New Roman" w:hAnsi="Arial" w:cs="Arial"/>
          <w:color w:val="C00000"/>
          <w:sz w:val="18"/>
          <w:szCs w:val="18"/>
          <w:shd w:val="clear" w:color="auto" w:fill="FFFFFF"/>
        </w:rPr>
        <w:t>Certificate Expiration: The TDG ‘Clear Language’ Training Certificate is valid for 3 years.</w:t>
      </w:r>
      <w:bookmarkStart w:id="0" w:name="_GoBack"/>
      <w:bookmarkEnd w:id="0"/>
    </w:p>
    <w:sectPr w:rsidR="009D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E4"/>
    <w:rsid w:val="006352E4"/>
    <w:rsid w:val="009D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A4B28-0134-4C0B-8B7F-C59D7E99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35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52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635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Alexander</dc:creator>
  <cp:keywords/>
  <dc:description/>
  <cp:lastModifiedBy>Warren Alexander</cp:lastModifiedBy>
  <cp:revision>1</cp:revision>
  <dcterms:created xsi:type="dcterms:W3CDTF">2017-07-07T02:22:00Z</dcterms:created>
  <dcterms:modified xsi:type="dcterms:W3CDTF">2017-07-07T02:23:00Z</dcterms:modified>
</cp:coreProperties>
</file>